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33F88" w14:textId="3615CF0A" w:rsidR="005E2C01" w:rsidRDefault="005E2C01" w:rsidP="005E2C01">
      <w:pPr>
        <w:tabs>
          <w:tab w:val="center" w:pos="8222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GoBack"/>
      <w:bookmarkEnd w:id="0"/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#9</w:t>
      </w:r>
      <w:r w:rsidR="003D7748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Pr="000403E2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500128" w:rsidRPr="00500128">
        <w:rPr>
          <w:rFonts w:ascii="Arial" w:eastAsia="Batang" w:hAnsi="Arial" w:cs="Arial"/>
          <w:b/>
          <w:bCs/>
          <w:sz w:val="28"/>
          <w:szCs w:val="24"/>
          <w:lang w:val="en-GB"/>
        </w:rPr>
        <w:t>R1-1908769</w:t>
      </w:r>
    </w:p>
    <w:p w14:paraId="74393A1E" w14:textId="7593337C" w:rsidR="005E2C01" w:rsidRPr="0005228D" w:rsidRDefault="001D459B" w:rsidP="005E2C01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A9DFC9F" w14:textId="77777777" w:rsidR="004246DC" w:rsidRPr="005E2C01" w:rsidRDefault="004246DC" w:rsidP="004246DC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en-GB" w:eastAsia="zh-CN"/>
        </w:rPr>
      </w:pPr>
    </w:p>
    <w:p w14:paraId="59F145D0" w14:textId="59EE0E91" w:rsidR="004246DC" w:rsidRPr="005B50B6" w:rsidRDefault="00302EB0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7.2.2.</w:t>
      </w:r>
      <w:r w:rsidR="0005228D">
        <w:rPr>
          <w:b/>
          <w:color w:val="000000" w:themeColor="text1"/>
          <w:kern w:val="2"/>
          <w:sz w:val="24"/>
          <w:lang w:eastAsia="zh-CN"/>
        </w:rPr>
        <w:t>2</w:t>
      </w:r>
      <w:r w:rsidR="004246DC">
        <w:rPr>
          <w:b/>
          <w:color w:val="000000" w:themeColor="text1"/>
          <w:kern w:val="2"/>
          <w:sz w:val="24"/>
          <w:lang w:eastAsia="zh-CN"/>
        </w:rPr>
        <w:t>.</w:t>
      </w:r>
      <w:r w:rsidR="00E953C2">
        <w:rPr>
          <w:b/>
          <w:color w:val="000000" w:themeColor="text1"/>
          <w:kern w:val="2"/>
          <w:sz w:val="24"/>
          <w:lang w:eastAsia="zh-CN"/>
        </w:rPr>
        <w:t>5</w:t>
      </w:r>
    </w:p>
    <w:p w14:paraId="1810258A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3E7CE4F7" w14:textId="04AD68CD" w:rsidR="004246DC" w:rsidRDefault="004246DC" w:rsidP="004246DC">
      <w:pPr>
        <w:spacing w:after="60"/>
        <w:ind w:left="1555" w:hanging="1555"/>
        <w:jc w:val="left"/>
        <w:rPr>
          <w:rFonts w:eastAsia="MS Mincho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32E84">
        <w:rPr>
          <w:b/>
          <w:color w:val="000000" w:themeColor="text1"/>
          <w:kern w:val="2"/>
          <w:sz w:val="24"/>
          <w:lang w:eastAsia="zh-CN"/>
        </w:rPr>
        <w:t xml:space="preserve">UL </w:t>
      </w:r>
      <w:r w:rsidR="00532E84">
        <w:rPr>
          <w:rFonts w:eastAsia="MS Mincho"/>
          <w:b/>
          <w:color w:val="000000" w:themeColor="text1"/>
          <w:kern w:val="2"/>
          <w:sz w:val="24"/>
          <w:lang w:eastAsia="ja-JP"/>
        </w:rPr>
        <w:t>w</w:t>
      </w:r>
      <w:r w:rsidR="00E953C2">
        <w:rPr>
          <w:rFonts w:eastAsia="MS Mincho"/>
          <w:b/>
          <w:color w:val="000000" w:themeColor="text1"/>
          <w:kern w:val="2"/>
          <w:sz w:val="24"/>
          <w:lang w:eastAsia="ja-JP"/>
        </w:rPr>
        <w:t>ideband operation</w:t>
      </w:r>
      <w:r>
        <w:rPr>
          <w:b/>
          <w:color w:val="000000" w:themeColor="text1"/>
          <w:kern w:val="2"/>
          <w:sz w:val="24"/>
          <w:lang w:eastAsia="zh-CN"/>
        </w:rPr>
        <w:t xml:space="preserve"> </w:t>
      </w:r>
      <w:r>
        <w:rPr>
          <w:rFonts w:eastAsia="MS Mincho" w:hint="eastAsia"/>
          <w:b/>
          <w:color w:val="000000" w:themeColor="text1"/>
          <w:kern w:val="2"/>
          <w:sz w:val="24"/>
          <w:lang w:eastAsia="ja-JP"/>
        </w:rPr>
        <w:t xml:space="preserve">for </w:t>
      </w:r>
      <w:r w:rsidR="00152F51">
        <w:rPr>
          <w:b/>
          <w:color w:val="000000" w:themeColor="text1"/>
          <w:kern w:val="2"/>
          <w:sz w:val="24"/>
          <w:lang w:eastAsia="zh-CN"/>
        </w:rPr>
        <w:t>NR Unlicensed</w:t>
      </w:r>
    </w:p>
    <w:p w14:paraId="451A6C92" w14:textId="77777777" w:rsidR="004246DC" w:rsidRPr="005B50B6" w:rsidRDefault="004246DC" w:rsidP="004246DC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21C3FA54" w14:textId="77777777" w:rsidR="004246DC" w:rsidRPr="005B50B6" w:rsidRDefault="004246DC" w:rsidP="004246DC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76672175" w14:textId="77777777" w:rsidR="004246DC" w:rsidRPr="005B50B6" w:rsidRDefault="004246DC" w:rsidP="004246D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03BC0F3" w14:textId="7E73B908" w:rsidR="0005228D" w:rsidRDefault="00A63F95" w:rsidP="00302EB0">
      <w:pPr>
        <w:overflowPunct w:val="0"/>
        <w:snapToGrid/>
        <w:spacing w:after="0"/>
        <w:textAlignment w:val="baseline"/>
        <w:rPr>
          <w:bCs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1B6454" wp14:editId="5D3A4E09">
                <wp:simplePos x="0" y="0"/>
                <wp:positionH relativeFrom="column">
                  <wp:posOffset>-28575</wp:posOffset>
                </wp:positionH>
                <wp:positionV relativeFrom="paragraph">
                  <wp:posOffset>427355</wp:posOffset>
                </wp:positionV>
                <wp:extent cx="6086475" cy="1076325"/>
                <wp:effectExtent l="0" t="0" r="28575" b="28575"/>
                <wp:wrapTopAndBottom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1076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CBA5C" w14:textId="77777777" w:rsidR="00597EFF" w:rsidRPr="00A63F95" w:rsidRDefault="00597EFF" w:rsidP="00671F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ind w:left="568" w:hanging="284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</w:pPr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      </w:r>
                            <w:proofErr w:type="spellStart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>subbands</w:t>
                            </w:r>
                            <w:proofErr w:type="spellEnd"/>
                            <w:r w:rsidRPr="00A63F9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Cs w:val="20"/>
                                <w:lang w:val="en-GB" w:eastAsia="ja-JP"/>
                              </w:rPr>
                              <w:t xml:space="preserve"> within the wideband carrier. For all wide-band operation cases, CCA is performed in units of 20MHz (at least for 5GHz).</w:t>
                            </w:r>
                          </w:p>
                          <w:p w14:paraId="04C97FD8" w14:textId="77777777" w:rsidR="00597EFF" w:rsidRPr="00671F3F" w:rsidRDefault="00597EFF" w:rsidP="00671F3F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B6454" id="Rectangle 1" o:spid="_x0000_s1026" style="position:absolute;left:0;text-align:left;margin-left:-2.25pt;margin-top:33.65pt;width:479.2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" filled="f" strokecolor="black [3213]" strokeweight="1pt">
                <v:textbox>
                  <w:txbxContent>
                    <w:p w14:paraId="70FCBA5C" w14:textId="77777777" w:rsidR="00597EFF" w:rsidRPr="00A63F95" w:rsidRDefault="00597EFF" w:rsidP="00671F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ind w:left="568" w:hanging="284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</w:pPr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Wide band operation (in integer multiples of 20MHz) for DL and UL for NR-U supported with multiple serving cells, and wideband operation (in integer multiples of 20MHz) for DL and UL for NR-U supported with one serving cell with bandwidth &gt; 20MHz with potential scheduling constraint subject to input from RAN2 and RAN4 on feasibility of operating the wideband carrier when LBT is unsuccessful in one or more LBT </w:t>
                      </w:r>
                      <w:proofErr w:type="spellStart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>subbands</w:t>
                      </w:r>
                      <w:proofErr w:type="spellEnd"/>
                      <w:r w:rsidRPr="00A63F9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Cs w:val="20"/>
                          <w:lang w:val="en-GB" w:eastAsia="ja-JP"/>
                        </w:rPr>
                        <w:t xml:space="preserve"> within the wideband carrier. For all wide-band operation cases, CCA is performed in units of 20MHz (at least for 5GHz).</w:t>
                      </w:r>
                    </w:p>
                    <w:p w14:paraId="04C97FD8" w14:textId="77777777" w:rsidR="00597EFF" w:rsidRPr="00671F3F" w:rsidRDefault="00597EFF" w:rsidP="00671F3F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5228D">
        <w:rPr>
          <w:bCs/>
        </w:rPr>
        <w:t>In RAN</w:t>
      </w:r>
      <w:r w:rsidR="009B0EED">
        <w:rPr>
          <w:bCs/>
        </w:rPr>
        <w:t>#</w:t>
      </w:r>
      <w:r w:rsidR="0005228D">
        <w:rPr>
          <w:bCs/>
        </w:rPr>
        <w:t>82</w:t>
      </w:r>
      <w:r w:rsidR="009B0EED">
        <w:rPr>
          <w:bCs/>
        </w:rPr>
        <w:t xml:space="preserve"> meeting the </w:t>
      </w:r>
      <w:r w:rsidR="0005228D">
        <w:rPr>
          <w:bCs/>
        </w:rPr>
        <w:t>work item for NR operation in unlicensed spectrum was approved</w:t>
      </w:r>
      <w:r w:rsidR="007239AE">
        <w:rPr>
          <w:bCs/>
        </w:rPr>
        <w:t xml:space="preserve"> [1]</w:t>
      </w:r>
      <w:r w:rsidR="009B0EED">
        <w:rPr>
          <w:bCs/>
        </w:rPr>
        <w:t>.</w:t>
      </w:r>
      <w:r w:rsidR="000A5771">
        <w:rPr>
          <w:bCs/>
        </w:rPr>
        <w:t xml:space="preserve"> </w:t>
      </w:r>
      <w:r w:rsidR="003040E4">
        <w:rPr>
          <w:bCs/>
        </w:rPr>
        <w:t xml:space="preserve">Among other topics </w:t>
      </w:r>
      <w:r w:rsidR="0005228D">
        <w:rPr>
          <w:bCs/>
        </w:rPr>
        <w:t xml:space="preserve">the work item </w:t>
      </w:r>
      <w:r w:rsidR="003040E4">
        <w:rPr>
          <w:bCs/>
        </w:rPr>
        <w:t xml:space="preserve">description </w:t>
      </w:r>
      <w:r w:rsidR="0005228D">
        <w:rPr>
          <w:bCs/>
        </w:rPr>
        <w:t>includes the following objectives</w:t>
      </w:r>
      <w:r w:rsidR="003040E4">
        <w:rPr>
          <w:bCs/>
        </w:rPr>
        <w:t xml:space="preserve"> related to </w:t>
      </w:r>
      <w:r w:rsidR="00E953C2">
        <w:rPr>
          <w:bCs/>
        </w:rPr>
        <w:t>wideband operations</w:t>
      </w:r>
      <w:r w:rsidR="003040E4">
        <w:rPr>
          <w:bCs/>
        </w:rPr>
        <w:t>:</w:t>
      </w:r>
    </w:p>
    <w:p w14:paraId="3F51306D" w14:textId="04DF1D4D" w:rsidR="003040E4" w:rsidRDefault="003040E4" w:rsidP="00302EB0">
      <w:pPr>
        <w:overflowPunct w:val="0"/>
        <w:snapToGrid/>
        <w:spacing w:after="0"/>
        <w:textAlignment w:val="baseline"/>
        <w:rPr>
          <w:bCs/>
        </w:rPr>
      </w:pPr>
    </w:p>
    <w:p w14:paraId="502D9F02" w14:textId="2813B043" w:rsidR="00DB4A32" w:rsidRDefault="009074C0" w:rsidP="009B0EED">
      <w:pPr>
        <w:overflowPunct w:val="0"/>
        <w:snapToGrid/>
        <w:spacing w:after="0"/>
        <w:textAlignment w:val="baseline"/>
        <w:rPr>
          <w:bCs/>
          <w:highlight w:val="yellow"/>
        </w:rPr>
      </w:pPr>
      <w:r>
        <w:rPr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61959" wp14:editId="74B745D1">
                <wp:simplePos x="0" y="0"/>
                <wp:positionH relativeFrom="column">
                  <wp:posOffset>-19050</wp:posOffset>
                </wp:positionH>
                <wp:positionV relativeFrom="paragraph">
                  <wp:posOffset>591820</wp:posOffset>
                </wp:positionV>
                <wp:extent cx="6086475" cy="2295525"/>
                <wp:effectExtent l="0" t="0" r="28575" b="28575"/>
                <wp:wrapTopAndBottom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295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7614E" w14:textId="77777777" w:rsidR="00CA75E2" w:rsidRPr="009074C0" w:rsidRDefault="00CA75E2" w:rsidP="009074C0">
                            <w:pPr>
                              <w:autoSpaceDE/>
                              <w:autoSpaceDN/>
                              <w:adjustRightInd/>
                              <w:snapToGrid/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highlight w:val="green"/>
                                <w:lang w:val="en-GB"/>
                              </w:rPr>
                              <w:t>Agreement:</w:t>
                            </w:r>
                          </w:p>
                          <w:p w14:paraId="42ACF1BC" w14:textId="77777777" w:rsidR="00CA75E2" w:rsidRPr="009074C0" w:rsidRDefault="00CA75E2" w:rsidP="00CA75E2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For UL transmissions in a serving cell with carrier bandwidth greater than LBT bandwidth, for the case where UE performs CCA before UL transmission, support at least Alt. 1 among the following alternatives</w:t>
                            </w:r>
                          </w:p>
                          <w:p w14:paraId="7FC291A2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>Alt. 1: UE transmits the PUSCH only if CCA is successful at UE in all LBT bandwidths of the scheduled PUSCH.</w:t>
                            </w:r>
                          </w:p>
                          <w:p w14:paraId="6659F9F9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Alt. 2: </w:t>
                            </w:r>
                            <w:r w:rsidRPr="009074C0">
                              <w:rPr>
                                <w:rFonts w:hint="eastAsia"/>
                                <w:bCs/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UE transmits </w:t>
                            </w:r>
                            <w:r w:rsidRPr="009074C0">
                              <w:rPr>
                                <w:bCs/>
                                <w:color w:val="000000" w:themeColor="text1"/>
                                <w:sz w:val="21"/>
                                <w:szCs w:val="21"/>
                                <w:lang w:val="en-GB"/>
                              </w:rPr>
                              <w:t xml:space="preserve">the PUSCH in all or a subset of LBT bandwidths of the scheduled PUSCH for which CCA is successful at the UE. </w:t>
                            </w:r>
                          </w:p>
                          <w:p w14:paraId="24D7A4B1" w14:textId="77777777" w:rsidR="00CA75E2" w:rsidRPr="009074C0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Decision on whether this alternative is supported will depend on feedback from RAN4</w:t>
                            </w:r>
                          </w:p>
                          <w:p w14:paraId="7FD5EEF7" w14:textId="77777777" w:rsidR="00CA75E2" w:rsidRPr="009074C0" w:rsidRDefault="00CA75E2" w:rsidP="00CA75E2">
                            <w:pPr>
                              <w:numPr>
                                <w:ilvl w:val="1"/>
                                <w:numId w:val="1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rFonts w:hint="eastAsia"/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F</w:t>
                            </w:r>
                            <w:r w:rsidRPr="009074C0">
                              <w:rPr>
                                <w:bCs/>
                                <w:color w:val="000000" w:themeColor="text1"/>
                                <w:sz w:val="21"/>
                                <w:szCs w:val="21"/>
                              </w:rPr>
                              <w:t>FS on restrictions to the subset of LBT bandwidths, e.g., only contiguous LBT bandwidths allowed, based on feedback from RAN4</w:t>
                            </w:r>
                          </w:p>
                          <w:p w14:paraId="4D3D83AC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Necessity of guard bands within the scheduled PUSCH should be determined by RAN4</w:t>
                            </w:r>
                          </w:p>
                          <w:p w14:paraId="4BF146C2" w14:textId="77777777" w:rsidR="00CA75E2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FFS: Whether this applies also to configured grant PUSCH</w:t>
                            </w:r>
                          </w:p>
                          <w:p w14:paraId="03B6B65B" w14:textId="34FE30A7" w:rsidR="00597EFF" w:rsidRPr="009074C0" w:rsidRDefault="00CA75E2" w:rsidP="00CA75E2">
                            <w:pPr>
                              <w:numPr>
                                <w:ilvl w:val="0"/>
                                <w:numId w:val="21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074C0">
                              <w:rPr>
                                <w:color w:val="000000" w:themeColor="text1"/>
                                <w:sz w:val="21"/>
                                <w:szCs w:val="21"/>
                              </w:rPr>
                              <w:t>FFS: Whether this applies also to PUCCH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61959" id="Rectangle 4" o:spid="_x0000_s1027" style="position:absolute;left:0;text-align:left;margin-left:-1.5pt;margin-top:46.6pt;width:479.25pt;height:18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" filled="f" strokecolor="black [3213]" strokeweight="1pt">
                <v:textbox>
                  <w:txbxContent>
                    <w:p w14:paraId="7687614E" w14:textId="77777777" w:rsidR="00CA75E2" w:rsidRPr="009074C0" w:rsidRDefault="00CA75E2" w:rsidP="009074C0">
                      <w:pPr>
                        <w:autoSpaceDE/>
                        <w:autoSpaceDN/>
                        <w:adjustRightInd/>
                        <w:snapToGrid/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highlight w:val="green"/>
                          <w:lang w:val="en-GB"/>
                        </w:rPr>
                        <w:t>Agreement:</w:t>
                      </w:r>
                    </w:p>
                    <w:p w14:paraId="42ACF1BC" w14:textId="77777777" w:rsidR="00CA75E2" w:rsidRPr="009074C0" w:rsidRDefault="00CA75E2" w:rsidP="00CA75E2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For UL transmissions in a serving cell with carrier bandwidth greater than LBT bandwidth, for the case where UE performs CCA before UL transmission, support at least Alt. 1 among the following alternatives</w:t>
                      </w:r>
                    </w:p>
                    <w:p w14:paraId="7FC291A2" w14:textId="77777777" w:rsidR="00CA75E2" w:rsidRPr="009074C0" w:rsidRDefault="00CA75E2" w:rsidP="00CA75E2">
                      <w:pPr>
                        <w:numPr>
                          <w:ilvl w:val="0"/>
                          <w:numId w:val="2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  <w:t>Alt. 1: UE transmits the PUSCH only if CCA is successful at UE in all LBT bandwidths of the scheduled PUSCH.</w:t>
                      </w:r>
                    </w:p>
                    <w:p w14:paraId="6659F9F9" w14:textId="77777777" w:rsidR="00CA75E2" w:rsidRPr="009074C0" w:rsidRDefault="00CA75E2" w:rsidP="00CA75E2">
                      <w:pPr>
                        <w:numPr>
                          <w:ilvl w:val="0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Alt. 2: </w:t>
                      </w:r>
                      <w:r w:rsidRPr="009074C0">
                        <w:rPr>
                          <w:rFonts w:hint="eastAsia"/>
                          <w:bCs/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UE transmits </w:t>
                      </w:r>
                      <w:r w:rsidRPr="009074C0">
                        <w:rPr>
                          <w:bCs/>
                          <w:color w:val="000000" w:themeColor="text1"/>
                          <w:sz w:val="21"/>
                          <w:szCs w:val="21"/>
                          <w:lang w:val="en-GB"/>
                        </w:rPr>
                        <w:t xml:space="preserve">the PUSCH in all or a subset of LBT bandwidths of the scheduled PUSCH for which CCA is successful at the UE. </w:t>
                      </w:r>
                    </w:p>
                    <w:p w14:paraId="24D7A4B1" w14:textId="77777777" w:rsidR="00CA75E2" w:rsidRPr="009074C0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Decision on whether this alternative is supported will depend on feedback from RAN4</w:t>
                      </w:r>
                    </w:p>
                    <w:p w14:paraId="7FD5EEF7" w14:textId="77777777" w:rsidR="00CA75E2" w:rsidRPr="009074C0" w:rsidRDefault="00CA75E2" w:rsidP="00CA75E2">
                      <w:pPr>
                        <w:numPr>
                          <w:ilvl w:val="1"/>
                          <w:numId w:val="1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rFonts w:hint="eastAsia"/>
                          <w:bCs/>
                          <w:color w:val="000000" w:themeColor="text1"/>
                          <w:sz w:val="21"/>
                          <w:szCs w:val="21"/>
                        </w:rPr>
                        <w:t>F</w:t>
                      </w:r>
                      <w:r w:rsidRPr="009074C0">
                        <w:rPr>
                          <w:bCs/>
                          <w:color w:val="000000" w:themeColor="text1"/>
                          <w:sz w:val="21"/>
                          <w:szCs w:val="21"/>
                        </w:rPr>
                        <w:t>FS on restrictions to the subset of LBT bandwidths, e.g., only contiguous LBT bandwidths allowed, based on feedback from RAN4</w:t>
                      </w:r>
                    </w:p>
                    <w:p w14:paraId="4D3D83AC" w14:textId="77777777" w:rsidR="00CA75E2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Necessity of guard bands within the scheduled PUSCH should be determined by RAN4</w:t>
                      </w:r>
                    </w:p>
                    <w:p w14:paraId="4BF146C2" w14:textId="77777777" w:rsidR="00CA75E2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FFS: Whether this applies also to configured grant PUSCH</w:t>
                      </w:r>
                    </w:p>
                    <w:p w14:paraId="03B6B65B" w14:textId="34FE30A7" w:rsidR="00597EFF" w:rsidRPr="009074C0" w:rsidRDefault="00CA75E2" w:rsidP="00CA75E2">
                      <w:pPr>
                        <w:numPr>
                          <w:ilvl w:val="0"/>
                          <w:numId w:val="21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color w:val="000000" w:themeColor="text1"/>
                          <w:sz w:val="21"/>
                          <w:szCs w:val="21"/>
                        </w:rPr>
                      </w:pPr>
                      <w:r w:rsidRPr="009074C0">
                        <w:rPr>
                          <w:color w:val="000000" w:themeColor="text1"/>
                          <w:sz w:val="21"/>
                          <w:szCs w:val="21"/>
                        </w:rPr>
                        <w:t>FFS: Whether this applies also to PUCCH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DB4A32" w:rsidRPr="00B360FB">
        <w:rPr>
          <w:bCs/>
        </w:rPr>
        <w:t xml:space="preserve">Further, in </w:t>
      </w:r>
      <w:r w:rsidR="009266C6" w:rsidRPr="00B360FB">
        <w:rPr>
          <w:bCs/>
        </w:rPr>
        <w:t>RAN1#96</w:t>
      </w:r>
      <w:r w:rsidR="006D0789">
        <w:rPr>
          <w:bCs/>
        </w:rPr>
        <w:t>bis</w:t>
      </w:r>
      <w:r w:rsidR="009266C6" w:rsidRPr="00B360FB">
        <w:rPr>
          <w:bCs/>
        </w:rPr>
        <w:t xml:space="preserve"> the topic of wideband operation was discussed, and </w:t>
      </w:r>
      <w:r w:rsidR="00CA75E2">
        <w:rPr>
          <w:bCs/>
        </w:rPr>
        <w:t>the different solutions</w:t>
      </w:r>
      <w:r w:rsidR="00DE57C9" w:rsidRPr="00B360FB">
        <w:rPr>
          <w:bCs/>
        </w:rPr>
        <w:t xml:space="preserve"> for BWP-based UL operation within a carrier with bandwidth larger than 20 MHz were </w:t>
      </w:r>
      <w:r w:rsidR="00CA75E2">
        <w:rPr>
          <w:bCs/>
        </w:rPr>
        <w:t>discussed</w:t>
      </w:r>
      <w:r w:rsidR="00DE57C9" w:rsidRPr="006A0739">
        <w:rPr>
          <w:bCs/>
        </w:rPr>
        <w:t xml:space="preserve"> </w:t>
      </w:r>
      <w:r w:rsidR="00D735E0" w:rsidRPr="006A0739">
        <w:rPr>
          <w:bCs/>
        </w:rPr>
        <w:t>[</w:t>
      </w:r>
      <w:r w:rsidR="006A0739" w:rsidRPr="006A0739">
        <w:rPr>
          <w:bCs/>
        </w:rPr>
        <w:t>2</w:t>
      </w:r>
      <w:r w:rsidR="00D735E0" w:rsidRPr="006A0739">
        <w:rPr>
          <w:bCs/>
        </w:rPr>
        <w:t>]</w:t>
      </w:r>
      <w:r w:rsidR="00B360FB" w:rsidRPr="006A0739">
        <w:rPr>
          <w:bCs/>
        </w:rPr>
        <w:t xml:space="preserve">. The </w:t>
      </w:r>
      <w:r w:rsidR="00CA75E2">
        <w:rPr>
          <w:bCs/>
        </w:rPr>
        <w:t>following was agreed</w:t>
      </w:r>
      <w:r w:rsidR="00B360FB" w:rsidRPr="006A0739">
        <w:rPr>
          <w:bCs/>
        </w:rPr>
        <w:t>:</w:t>
      </w:r>
    </w:p>
    <w:p w14:paraId="5B0EC6EA" w14:textId="12998F1B" w:rsidR="000A5771" w:rsidRPr="00837966" w:rsidRDefault="000A5771" w:rsidP="00816180">
      <w:pPr>
        <w:overflowPunct w:val="0"/>
        <w:snapToGrid/>
        <w:spacing w:after="0"/>
        <w:textAlignment w:val="baseline"/>
        <w:rPr>
          <w:color w:val="000000" w:themeColor="text1"/>
          <w:highlight w:val="yellow"/>
          <w:lang w:eastAsia="zh-CN"/>
        </w:rPr>
      </w:pPr>
    </w:p>
    <w:p w14:paraId="79DD1BF8" w14:textId="366808FB" w:rsidR="00801DE2" w:rsidRDefault="008B2400" w:rsidP="004246DC">
      <w:pPr>
        <w:autoSpaceDE/>
        <w:autoSpaceDN/>
        <w:adjustRightInd/>
        <w:snapToGrid/>
        <w:spacing w:after="0"/>
        <w:rPr>
          <w:bCs/>
        </w:rPr>
      </w:pPr>
      <w:r w:rsidRPr="008B240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10BC3E" wp14:editId="53D1F1B2">
                <wp:simplePos x="0" y="0"/>
                <wp:positionH relativeFrom="margin">
                  <wp:align>left</wp:align>
                </wp:positionH>
                <wp:positionV relativeFrom="paragraph">
                  <wp:posOffset>446405</wp:posOffset>
                </wp:positionV>
                <wp:extent cx="6081395" cy="1404620"/>
                <wp:effectExtent l="0" t="0" r="1460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9790B" w14:textId="77777777" w:rsidR="008F2F0A" w:rsidRPr="009074C0" w:rsidRDefault="008F2F0A" w:rsidP="008F2F0A">
                            <w:pPr>
                              <w:rPr>
                                <w:sz w:val="21"/>
                                <w:szCs w:val="21"/>
                                <w:lang w:eastAsia="x-none"/>
                              </w:rPr>
                            </w:pPr>
                            <w:r w:rsidRPr="009074C0">
                              <w:rPr>
                                <w:sz w:val="21"/>
                                <w:szCs w:val="21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20556973" w14:textId="77777777" w:rsidR="008F2F0A" w:rsidRPr="009074C0" w:rsidRDefault="008F2F0A" w:rsidP="008F2F0A">
                            <w:pPr>
                              <w:overflowPunct w:val="0"/>
                              <w:snapToGrid/>
                              <w:spacing w:after="0"/>
                              <w:textAlignment w:val="baseline"/>
                              <w:rPr>
                                <w:sz w:val="21"/>
                                <w:szCs w:val="21"/>
                                <w:lang w:eastAsia="x-none"/>
                              </w:rPr>
                            </w:pPr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>When GC-PDCCH is configured, explicit indication via GC-PDCCH is supported as a mechanism to inform the UE that one or more carriers and/or LBT bandwidths are not available or available for DL reception, at least for slot(s) that are not at the beginning of DL transmission burst.</w:t>
                            </w:r>
                          </w:p>
                          <w:p w14:paraId="07BB1B13" w14:textId="77777777" w:rsidR="008F2F0A" w:rsidRPr="009074C0" w:rsidRDefault="008F2F0A" w:rsidP="008F2F0A">
                            <w:pPr>
                              <w:overflowPunct w:val="0"/>
                              <w:snapToGrid/>
                              <w:spacing w:after="0"/>
                              <w:textAlignment w:val="baseline"/>
                              <w:rPr>
                                <w:sz w:val="21"/>
                                <w:szCs w:val="21"/>
                                <w:lang w:eastAsia="x-none"/>
                              </w:rPr>
                            </w:pPr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 xml:space="preserve">FFS: </w:t>
                            </w:r>
                            <w:proofErr w:type="spellStart"/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>Signalling</w:t>
                            </w:r>
                            <w:proofErr w:type="spellEnd"/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 xml:space="preserve"> details of the indication, including e.g., the time domain validity of the indication</w:t>
                            </w:r>
                          </w:p>
                          <w:p w14:paraId="300A6785" w14:textId="77777777" w:rsidR="008F2F0A" w:rsidRPr="009074C0" w:rsidRDefault="008F2F0A" w:rsidP="008F2F0A">
                            <w:pPr>
                              <w:overflowPunct w:val="0"/>
                              <w:snapToGrid/>
                              <w:spacing w:after="0"/>
                              <w:textAlignment w:val="baseline"/>
                              <w:rPr>
                                <w:sz w:val="21"/>
                                <w:szCs w:val="21"/>
                                <w:lang w:eastAsia="x-none"/>
                              </w:rPr>
                            </w:pPr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>FFS: Whether and how to support the mechanism at the beginning of DL transmission burst</w:t>
                            </w:r>
                          </w:p>
                          <w:p w14:paraId="1A3214F6" w14:textId="77777777" w:rsidR="008F2F0A" w:rsidRPr="009074C0" w:rsidRDefault="008F2F0A" w:rsidP="008F2F0A">
                            <w:pPr>
                              <w:overflowPunct w:val="0"/>
                              <w:snapToGrid/>
                              <w:spacing w:after="0"/>
                              <w:textAlignment w:val="baseline"/>
                              <w:rPr>
                                <w:sz w:val="21"/>
                                <w:szCs w:val="21"/>
                                <w:lang w:eastAsia="x-none"/>
                              </w:rPr>
                            </w:pPr>
                            <w:r w:rsidRPr="009074C0">
                              <w:rPr>
                                <w:sz w:val="21"/>
                                <w:szCs w:val="21"/>
                                <w:lang w:eastAsia="x-none"/>
                              </w:rPr>
                              <w:t>FFS: Whether and how to handle the case when GC-PDCCH is not configured or not received by the UE</w:t>
                            </w:r>
                          </w:p>
                          <w:p w14:paraId="75FD4A78" w14:textId="03546D55" w:rsidR="008B2400" w:rsidRDefault="008B24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10BC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0;margin-top:35.15pt;width:478.8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">
                <v:textbox style="mso-fit-shape-to-text:t">
                  <w:txbxContent>
                    <w:p w14:paraId="2369790B" w14:textId="77777777" w:rsidR="008F2F0A" w:rsidRPr="009074C0" w:rsidRDefault="008F2F0A" w:rsidP="008F2F0A">
                      <w:pPr>
                        <w:rPr>
                          <w:sz w:val="21"/>
                          <w:szCs w:val="21"/>
                          <w:lang w:eastAsia="x-none"/>
                        </w:rPr>
                      </w:pPr>
                      <w:r w:rsidRPr="009074C0">
                        <w:rPr>
                          <w:sz w:val="21"/>
                          <w:szCs w:val="21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20556973" w14:textId="77777777" w:rsidR="008F2F0A" w:rsidRPr="009074C0" w:rsidRDefault="008F2F0A" w:rsidP="008F2F0A">
                      <w:pPr>
                        <w:overflowPunct w:val="0"/>
                        <w:snapToGrid/>
                        <w:spacing w:after="0"/>
                        <w:textAlignment w:val="baseline"/>
                        <w:rPr>
                          <w:sz w:val="21"/>
                          <w:szCs w:val="21"/>
                          <w:lang w:eastAsia="x-none"/>
                        </w:rPr>
                      </w:pPr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>When GC-PDCCH is configured, explicit indication via GC-PDCCH is supported as a mechanism to inform the UE that one or more carriers and/or LBT bandwidths are not available or available for DL reception, at least for slot(s) that are not at the beginning of DL transmission burst.</w:t>
                      </w:r>
                    </w:p>
                    <w:p w14:paraId="07BB1B13" w14:textId="77777777" w:rsidR="008F2F0A" w:rsidRPr="009074C0" w:rsidRDefault="008F2F0A" w:rsidP="008F2F0A">
                      <w:pPr>
                        <w:overflowPunct w:val="0"/>
                        <w:snapToGrid/>
                        <w:spacing w:after="0"/>
                        <w:textAlignment w:val="baseline"/>
                        <w:rPr>
                          <w:sz w:val="21"/>
                          <w:szCs w:val="21"/>
                          <w:lang w:eastAsia="x-none"/>
                        </w:rPr>
                      </w:pPr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 xml:space="preserve">FFS: </w:t>
                      </w:r>
                      <w:proofErr w:type="spellStart"/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>Signalling</w:t>
                      </w:r>
                      <w:proofErr w:type="spellEnd"/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 xml:space="preserve"> details of the indication, including e.g., the time domain validity of the indication</w:t>
                      </w:r>
                    </w:p>
                    <w:p w14:paraId="300A6785" w14:textId="77777777" w:rsidR="008F2F0A" w:rsidRPr="009074C0" w:rsidRDefault="008F2F0A" w:rsidP="008F2F0A">
                      <w:pPr>
                        <w:overflowPunct w:val="0"/>
                        <w:snapToGrid/>
                        <w:spacing w:after="0"/>
                        <w:textAlignment w:val="baseline"/>
                        <w:rPr>
                          <w:sz w:val="21"/>
                          <w:szCs w:val="21"/>
                          <w:lang w:eastAsia="x-none"/>
                        </w:rPr>
                      </w:pPr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>FFS: Whether and how to support the mechanism at the beginning of DL transmission burst</w:t>
                      </w:r>
                    </w:p>
                    <w:p w14:paraId="1A3214F6" w14:textId="77777777" w:rsidR="008F2F0A" w:rsidRPr="009074C0" w:rsidRDefault="008F2F0A" w:rsidP="008F2F0A">
                      <w:pPr>
                        <w:overflowPunct w:val="0"/>
                        <w:snapToGrid/>
                        <w:spacing w:after="0"/>
                        <w:textAlignment w:val="baseline"/>
                        <w:rPr>
                          <w:sz w:val="21"/>
                          <w:szCs w:val="21"/>
                          <w:lang w:eastAsia="x-none"/>
                        </w:rPr>
                      </w:pPr>
                      <w:r w:rsidRPr="009074C0">
                        <w:rPr>
                          <w:sz w:val="21"/>
                          <w:szCs w:val="21"/>
                          <w:lang w:eastAsia="x-none"/>
                        </w:rPr>
                        <w:t>FFS: Whether and how to handle the case when GC-PDCCH is not configured or not received by the UE</w:t>
                      </w:r>
                    </w:p>
                    <w:p w14:paraId="75FD4A78" w14:textId="03546D55" w:rsidR="008B2400" w:rsidRDefault="008B2400"/>
                  </w:txbxContent>
                </v:textbox>
                <w10:wrap type="square" anchorx="margin"/>
              </v:shape>
            </w:pict>
          </mc:Fallback>
        </mc:AlternateContent>
      </w:r>
      <w:r w:rsidR="00801DE2" w:rsidRPr="006A0739">
        <w:rPr>
          <w:color w:val="000000" w:themeColor="text1"/>
          <w:lang w:eastAsia="zh-CN"/>
        </w:rPr>
        <w:t>In</w:t>
      </w:r>
      <w:r w:rsidR="00BA6B6B" w:rsidRPr="006A0739">
        <w:rPr>
          <w:color w:val="000000" w:themeColor="text1"/>
          <w:lang w:eastAsia="zh-CN"/>
        </w:rPr>
        <w:t xml:space="preserve"> addition, </w:t>
      </w:r>
      <w:r w:rsidR="00384DE6" w:rsidRPr="006A0739">
        <w:rPr>
          <w:color w:val="000000" w:themeColor="text1"/>
          <w:lang w:eastAsia="zh-CN"/>
        </w:rPr>
        <w:t>in</w:t>
      </w:r>
      <w:r w:rsidR="00801DE2" w:rsidRPr="006A0739">
        <w:rPr>
          <w:color w:val="000000" w:themeColor="text1"/>
          <w:lang w:eastAsia="zh-CN"/>
        </w:rPr>
        <w:t xml:space="preserve"> </w:t>
      </w:r>
      <w:r w:rsidR="00801DE2" w:rsidRPr="006A0739">
        <w:rPr>
          <w:bCs/>
        </w:rPr>
        <w:t xml:space="preserve">RAN1 </w:t>
      </w:r>
      <w:r>
        <w:rPr>
          <w:bCs/>
        </w:rPr>
        <w:t>#9</w:t>
      </w:r>
      <w:r w:rsidR="008F2F0A">
        <w:rPr>
          <w:bCs/>
        </w:rPr>
        <w:t>7</w:t>
      </w:r>
      <w:r w:rsidR="00801DE2" w:rsidRPr="006A0739">
        <w:rPr>
          <w:bCs/>
        </w:rPr>
        <w:t xml:space="preserve"> </w:t>
      </w:r>
      <w:r>
        <w:rPr>
          <w:bCs/>
        </w:rPr>
        <w:t>it was discussed how gNB can indicate its transmissions in frequency domain</w:t>
      </w:r>
      <w:r w:rsidR="008F2F0A">
        <w:rPr>
          <w:bCs/>
        </w:rPr>
        <w:t xml:space="preserve"> [3]</w:t>
      </w:r>
      <w:r>
        <w:rPr>
          <w:bCs/>
        </w:rPr>
        <w:t>.</w:t>
      </w:r>
    </w:p>
    <w:p w14:paraId="66133EE6" w14:textId="0DAE9497" w:rsidR="00801DE2" w:rsidRDefault="00801DE2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A6F4097" w14:textId="77777777" w:rsidR="008B2400" w:rsidRDefault="008B2400" w:rsidP="004246DC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01906F36" w14:textId="4229D3A6" w:rsidR="004246DC" w:rsidRDefault="004246DC" w:rsidP="004246DC">
      <w:pPr>
        <w:autoSpaceDE/>
        <w:autoSpaceDN/>
        <w:adjustRightInd/>
        <w:snapToGrid/>
        <w:spacing w:after="0"/>
      </w:pPr>
      <w:r>
        <w:rPr>
          <w:rFonts w:hint="eastAsia"/>
          <w:color w:val="000000" w:themeColor="text1"/>
          <w:lang w:eastAsia="zh-CN"/>
        </w:rPr>
        <w:t xml:space="preserve">In this contribution, we will </w:t>
      </w:r>
      <w:r w:rsidR="00302EB0">
        <w:rPr>
          <w:color w:val="000000" w:themeColor="text1"/>
          <w:lang w:eastAsia="zh-CN"/>
        </w:rPr>
        <w:t xml:space="preserve">further </w:t>
      </w:r>
      <w:r>
        <w:rPr>
          <w:rFonts w:hint="eastAsia"/>
          <w:color w:val="000000" w:themeColor="text1"/>
          <w:lang w:eastAsia="zh-CN"/>
        </w:rPr>
        <w:t xml:space="preserve">discuss </w:t>
      </w:r>
      <w:r w:rsidR="003040E4">
        <w:rPr>
          <w:color w:val="000000" w:themeColor="text1"/>
          <w:lang w:eastAsia="zh-CN"/>
        </w:rPr>
        <w:t>design options and directions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we think RAN1 should consider for unlicensed NR </w:t>
      </w:r>
      <w:r w:rsidR="003040E4">
        <w:rPr>
          <w:color w:val="000000" w:themeColor="text1"/>
          <w:lang w:eastAsia="zh-CN"/>
        </w:rPr>
        <w:t xml:space="preserve">within the work item </w:t>
      </w:r>
      <w:r>
        <w:rPr>
          <w:color w:val="000000" w:themeColor="text1"/>
          <w:lang w:eastAsia="zh-CN"/>
        </w:rPr>
        <w:t>with respect to</w:t>
      </w:r>
      <w:r>
        <w:rPr>
          <w:rFonts w:eastAsia="MS Mincho" w:hint="eastAsia"/>
          <w:lang w:eastAsia="ja-JP"/>
        </w:rPr>
        <w:t xml:space="preserve"> </w:t>
      </w:r>
      <w:r w:rsidR="003040E4">
        <w:rPr>
          <w:rFonts w:eastAsia="MS Mincho"/>
          <w:lang w:eastAsia="ja-JP"/>
        </w:rPr>
        <w:t>the wide band operations</w:t>
      </w:r>
      <w:r>
        <w:t>.</w:t>
      </w:r>
    </w:p>
    <w:p w14:paraId="33F23DB7" w14:textId="1C38290C" w:rsidR="004246DC" w:rsidRDefault="004246DC" w:rsidP="004246D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416EF7A" w14:textId="00CA479F" w:rsidR="00C3754F" w:rsidRPr="005B50B6" w:rsidRDefault="00384DE6" w:rsidP="00EB628D">
      <w:pPr>
        <w:pStyle w:val="Heading2"/>
        <w:rPr>
          <w:lang w:eastAsia="zh-CN"/>
        </w:rPr>
      </w:pPr>
      <w:r>
        <w:rPr>
          <w:lang w:eastAsia="zh-CN"/>
        </w:rPr>
        <w:t>Uplink w</w:t>
      </w:r>
      <w:r w:rsidR="00EB628D" w:rsidRPr="00EB628D">
        <w:rPr>
          <w:lang w:eastAsia="zh-CN"/>
        </w:rPr>
        <w:t>ideband (&gt;20 MHz) operation</w:t>
      </w:r>
      <w:r w:rsidR="00C15608">
        <w:rPr>
          <w:lang w:eastAsia="zh-CN"/>
        </w:rPr>
        <w:t xml:space="preserve"> of NR-U</w:t>
      </w:r>
    </w:p>
    <w:p w14:paraId="2EEE1CF3" w14:textId="01ADEF80" w:rsidR="00C928D3" w:rsidRDefault="00C928D3" w:rsidP="00C928D3">
      <w:pPr>
        <w:rPr>
          <w:color w:val="000000" w:themeColor="text1"/>
        </w:rPr>
      </w:pPr>
      <w:r w:rsidRPr="00530B04">
        <w:rPr>
          <w:color w:val="000000" w:themeColor="text1"/>
        </w:rPr>
        <w:t xml:space="preserve">As </w:t>
      </w:r>
      <w:r w:rsidR="003040E4">
        <w:rPr>
          <w:color w:val="000000" w:themeColor="text1"/>
        </w:rPr>
        <w:t>included in the work item objectives for</w:t>
      </w:r>
      <w:r w:rsidR="003040E4" w:rsidRPr="003040E4">
        <w:rPr>
          <w:color w:val="000000" w:themeColor="text1"/>
        </w:rPr>
        <w:t xml:space="preserve"> all wide-band operation cases, CCA is performed in units of 20MHz (at least for 5GHz).</w:t>
      </w:r>
    </w:p>
    <w:p w14:paraId="1E70CCAB" w14:textId="4699B63B" w:rsidR="00C15608" w:rsidRDefault="00FF2590" w:rsidP="00C15608">
      <w:pPr>
        <w:rPr>
          <w:color w:val="000000" w:themeColor="text1"/>
        </w:rPr>
      </w:pPr>
      <w:r w:rsidRPr="00FF2590">
        <w:rPr>
          <w:color w:val="000000" w:themeColor="text1"/>
        </w:rPr>
        <w:t>For UL transmissions in a serving cell with carrier bandwidth greater than LBT bandwidth, for the case where UE performs CCA before UL transmission</w:t>
      </w:r>
      <w:r w:rsidR="00384DE6">
        <w:rPr>
          <w:color w:val="000000" w:themeColor="text1"/>
        </w:rPr>
        <w:t xml:space="preserve"> </w:t>
      </w:r>
      <w:r w:rsidR="005B5D3D">
        <w:rPr>
          <w:color w:val="000000" w:themeColor="text1"/>
        </w:rPr>
        <w:t xml:space="preserve">the </w:t>
      </w:r>
      <w:r w:rsidR="00384DE6">
        <w:rPr>
          <w:color w:val="000000" w:themeColor="text1"/>
        </w:rPr>
        <w:t>two</w:t>
      </w:r>
      <w:r w:rsidR="00E371D7">
        <w:rPr>
          <w:color w:val="000000" w:themeColor="text1"/>
        </w:rPr>
        <w:t xml:space="preserve"> options concluded </w:t>
      </w:r>
      <w:r w:rsidR="005B5D3D">
        <w:rPr>
          <w:color w:val="000000" w:themeColor="text1"/>
        </w:rPr>
        <w:t xml:space="preserve">are </w:t>
      </w:r>
      <w:r w:rsidR="00E371D7">
        <w:rPr>
          <w:color w:val="000000" w:themeColor="text1"/>
        </w:rPr>
        <w:t xml:space="preserve">listed as </w:t>
      </w:r>
      <w:r w:rsidR="00384DE6">
        <w:rPr>
          <w:color w:val="000000" w:themeColor="text1"/>
        </w:rPr>
        <w:t>alternative</w:t>
      </w:r>
      <w:r w:rsidR="00E371D7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>1 and 2</w:t>
      </w:r>
      <w:r w:rsidR="00E371D7">
        <w:rPr>
          <w:color w:val="000000" w:themeColor="text1"/>
        </w:rPr>
        <w:t xml:space="preserve"> in the introduction section above</w:t>
      </w:r>
      <w:r w:rsidR="00DD141C">
        <w:rPr>
          <w:color w:val="000000" w:themeColor="text1"/>
        </w:rPr>
        <w:t>.</w:t>
      </w:r>
      <w:r w:rsidR="00384DE6">
        <w:rPr>
          <w:color w:val="000000" w:themeColor="text1"/>
        </w:rPr>
        <w:t xml:space="preserve"> The two alternatives</w:t>
      </w:r>
      <w:r w:rsidR="00C15608">
        <w:rPr>
          <w:color w:val="000000" w:themeColor="text1"/>
        </w:rPr>
        <w:t xml:space="preserve"> </w:t>
      </w:r>
      <w:r w:rsidR="00384DE6">
        <w:rPr>
          <w:color w:val="000000" w:themeColor="text1"/>
        </w:rPr>
        <w:t xml:space="preserve">follow </w:t>
      </w:r>
      <w:r w:rsidR="00C15608">
        <w:rPr>
          <w:color w:val="000000" w:themeColor="text1"/>
        </w:rPr>
        <w:t>the mechanism of Rel-15 NR BW</w:t>
      </w:r>
      <w:r w:rsidR="00E371D7">
        <w:rPr>
          <w:color w:val="000000" w:themeColor="text1"/>
        </w:rPr>
        <w:t xml:space="preserve">P configuration and activation </w:t>
      </w:r>
      <w:r w:rsidR="00C15608">
        <w:rPr>
          <w:color w:val="000000" w:themeColor="text1"/>
        </w:rPr>
        <w:t>with the difference being the support of partial BWP transmission (</w:t>
      </w:r>
      <w:r w:rsidR="00384DE6">
        <w:rPr>
          <w:color w:val="000000" w:themeColor="text1"/>
        </w:rPr>
        <w:t>alternative</w:t>
      </w:r>
      <w:r w:rsidR="00C15608">
        <w:rPr>
          <w:color w:val="000000" w:themeColor="text1"/>
        </w:rPr>
        <w:t xml:space="preserve"> </w:t>
      </w:r>
      <w:r w:rsidR="001B2BE2">
        <w:rPr>
          <w:color w:val="000000" w:themeColor="text1"/>
        </w:rPr>
        <w:t>2</w:t>
      </w:r>
      <w:r w:rsidR="00C15608">
        <w:rPr>
          <w:color w:val="000000" w:themeColor="text1"/>
        </w:rPr>
        <w:t xml:space="preserve">). Since </w:t>
      </w:r>
      <w:proofErr w:type="spellStart"/>
      <w:r w:rsidR="00C15608">
        <w:rPr>
          <w:color w:val="000000" w:themeColor="text1"/>
        </w:rPr>
        <w:t>eMBB</w:t>
      </w:r>
      <w:proofErr w:type="spellEnd"/>
      <w:r w:rsidR="00C15608">
        <w:rPr>
          <w:color w:val="000000" w:themeColor="text1"/>
        </w:rPr>
        <w:t xml:space="preserve"> service is the main target for Rel-16 NR-U, it is quite normal for the network to configure a BWP exceeding 20MHz</w:t>
      </w:r>
      <w:r w:rsidR="001B2BE2">
        <w:rPr>
          <w:color w:val="000000" w:themeColor="text1"/>
        </w:rPr>
        <w:t xml:space="preserve">. </w:t>
      </w:r>
      <w:r w:rsidR="00C15608">
        <w:rPr>
          <w:color w:val="000000" w:themeColor="text1"/>
        </w:rPr>
        <w:t xml:space="preserve">In such a case, </w:t>
      </w:r>
      <w:r w:rsidR="001B2BE2">
        <w:rPr>
          <w:color w:val="000000" w:themeColor="text1"/>
        </w:rPr>
        <w:t>alternative 2</w:t>
      </w:r>
      <w:r w:rsidR="00C15608">
        <w:rPr>
          <w:color w:val="000000" w:themeColor="text1"/>
        </w:rPr>
        <w:t xml:space="preserve"> shows its superior performance on the spectral efficiency over </w:t>
      </w:r>
      <w:r w:rsidR="001B2BE2">
        <w:rPr>
          <w:color w:val="000000" w:themeColor="text1"/>
        </w:rPr>
        <w:t>alternative 1</w:t>
      </w:r>
      <w:r w:rsidR="00C15608">
        <w:rPr>
          <w:color w:val="000000" w:themeColor="text1"/>
        </w:rPr>
        <w:t xml:space="preserve">, especially when only a small partial BWP is busy at a time instant. </w:t>
      </w:r>
      <w:r>
        <w:rPr>
          <w:color w:val="000000" w:themeColor="text1"/>
        </w:rPr>
        <w:t>Hence,</w:t>
      </w:r>
      <w:r w:rsidR="00B7653B">
        <w:rPr>
          <w:color w:val="000000" w:themeColor="text1"/>
        </w:rPr>
        <w:t xml:space="preserve"> we are supportive of the Alt 2 on top of the already agreed Alt 1, conditioned on positive indication from RAN4.</w:t>
      </w:r>
    </w:p>
    <w:p w14:paraId="5F5762A5" w14:textId="45DF5BF1" w:rsidR="000D26D2" w:rsidRPr="00E371D7" w:rsidRDefault="00C15608" w:rsidP="00E371D7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Proposal </w:t>
      </w:r>
      <w:r>
        <w:rPr>
          <w:rFonts w:ascii="Times New Roman" w:eastAsia="MS Mincho" w:hAnsi="Times New Roman" w:cs="Times New Roman"/>
          <w:b/>
          <w:i/>
          <w:color w:val="000000" w:themeColor="text1"/>
          <w:lang w:eastAsia="ja-JP"/>
        </w:rPr>
        <w:t>1</w:t>
      </w:r>
      <w:r>
        <w:rPr>
          <w:rFonts w:ascii="Times New Roman" w:hAnsi="Times New Roman" w:cs="Times New Roman"/>
          <w:color w:val="000000" w:themeColor="text1"/>
        </w:rPr>
        <w:t xml:space="preserve">: </w:t>
      </w:r>
      <w:r w:rsidR="001B2BE2" w:rsidRPr="001B2BE2">
        <w:rPr>
          <w:rFonts w:ascii="Times New Roman" w:hAnsi="Times New Roman" w:cs="Times New Roman"/>
          <w:i/>
          <w:lang w:val="en-GB" w:eastAsia="ja-JP"/>
        </w:rPr>
        <w:t xml:space="preserve">NR-U to support that: </w:t>
      </w:r>
      <w:r w:rsidR="00B7653B" w:rsidRPr="00B7653B">
        <w:rPr>
          <w:rFonts w:ascii="Times New Roman" w:hAnsi="Times New Roman" w:cs="Times New Roman"/>
          <w:i/>
          <w:lang w:val="en-GB" w:eastAsia="ja-JP"/>
        </w:rPr>
        <w:t>UE transmits the PUSCH in all or a subset of LBT bandwidths of the scheduled PUSCH for which CCA is successful at the UE</w:t>
      </w:r>
      <w:r>
        <w:rPr>
          <w:rFonts w:ascii="Times New Roman" w:hAnsi="Times New Roman" w:cs="Times New Roman"/>
          <w:i/>
          <w:lang w:val="en-GB" w:eastAsia="ja-JP"/>
        </w:rPr>
        <w:t xml:space="preserve">. </w:t>
      </w:r>
    </w:p>
    <w:p w14:paraId="58C2862C" w14:textId="0A839584" w:rsidR="00E371D7" w:rsidRDefault="00B76E30" w:rsidP="00EB628D">
      <w:pPr>
        <w:rPr>
          <w:color w:val="000000" w:themeColor="text1"/>
        </w:rPr>
      </w:pPr>
      <w:r>
        <w:rPr>
          <w:color w:val="000000" w:themeColor="text1"/>
        </w:rPr>
        <w:t xml:space="preserve">In all options being discussed for the wideband operations the </w:t>
      </w:r>
      <w:r w:rsidR="00E371D7">
        <w:rPr>
          <w:color w:val="000000" w:themeColor="text1"/>
        </w:rPr>
        <w:t xml:space="preserve">UE </w:t>
      </w:r>
      <w:r>
        <w:rPr>
          <w:color w:val="000000" w:themeColor="text1"/>
        </w:rPr>
        <w:t>(</w:t>
      </w:r>
      <w:r w:rsidR="00E371D7">
        <w:rPr>
          <w:color w:val="000000" w:themeColor="text1"/>
        </w:rPr>
        <w:t xml:space="preserve">or </w:t>
      </w:r>
      <w:proofErr w:type="spellStart"/>
      <w:r w:rsidR="00E371D7"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>) may end up in</w:t>
      </w:r>
      <w:r w:rsidR="00E371D7">
        <w:rPr>
          <w:color w:val="000000" w:themeColor="text1"/>
        </w:rPr>
        <w:t xml:space="preserve"> transmit</w:t>
      </w:r>
      <w:r>
        <w:rPr>
          <w:color w:val="000000" w:themeColor="text1"/>
        </w:rPr>
        <w:t>ting</w:t>
      </w:r>
      <w:r w:rsidR="00E371D7">
        <w:rPr>
          <w:color w:val="000000" w:themeColor="text1"/>
        </w:rPr>
        <w:t xml:space="preserve"> on parts of the BWP</w:t>
      </w:r>
      <w:r>
        <w:rPr>
          <w:color w:val="000000" w:themeColor="text1"/>
        </w:rPr>
        <w:t xml:space="preserve">. The same situation of transmissions in a part of the BWP could be envisioned for </w:t>
      </w:r>
      <w:r w:rsidR="001163E8">
        <w:rPr>
          <w:color w:val="000000" w:themeColor="text1"/>
        </w:rPr>
        <w:t>occasional</w:t>
      </w:r>
      <w:r>
        <w:rPr>
          <w:color w:val="000000" w:themeColor="text1"/>
        </w:rPr>
        <w:t xml:space="preserve"> small data transmissions</w:t>
      </w:r>
      <w:r w:rsidR="001163E8">
        <w:rPr>
          <w:color w:val="000000" w:themeColor="text1"/>
        </w:rPr>
        <w:t xml:space="preserve"> during an active data session, where in certain periods the communication is not requiring the full BWP to be utilized</w:t>
      </w:r>
      <w:r w:rsidR="00E371D7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Hence, </w:t>
      </w:r>
      <w:r w:rsidR="001163E8">
        <w:rPr>
          <w:color w:val="000000" w:themeColor="text1"/>
        </w:rPr>
        <w:t>t</w:t>
      </w:r>
      <w:r w:rsidR="00F10F8D">
        <w:rPr>
          <w:color w:val="000000" w:themeColor="text1"/>
        </w:rPr>
        <w:t>here could be several scenarios where the UE would benefit from actively selecting a part of the BWP</w:t>
      </w:r>
      <w:r>
        <w:rPr>
          <w:color w:val="000000" w:themeColor="text1"/>
        </w:rPr>
        <w:t xml:space="preserve"> for the CCA procedure</w:t>
      </w:r>
      <w:r w:rsidR="001163E8">
        <w:rPr>
          <w:color w:val="000000" w:themeColor="text1"/>
        </w:rPr>
        <w:t>. If the UE would actively select only a subset of the BWP, one method could be a random selection of such sub-band(s) by the UE. However,</w:t>
      </w:r>
      <w:r w:rsidR="00F10F8D">
        <w:rPr>
          <w:color w:val="000000" w:themeColor="text1"/>
        </w:rPr>
        <w:t xml:space="preserve"> </w:t>
      </w:r>
      <w:r w:rsidR="001163E8">
        <w:rPr>
          <w:color w:val="000000" w:themeColor="text1"/>
        </w:rPr>
        <w:t>s</w:t>
      </w:r>
      <w:r w:rsidR="00856D05">
        <w:rPr>
          <w:color w:val="000000" w:themeColor="text1"/>
        </w:rPr>
        <w:t>ince the expected channel utilization on the BWP could vary over time</w:t>
      </w:r>
      <w:r w:rsidR="005B5D3D">
        <w:rPr>
          <w:color w:val="000000" w:themeColor="text1"/>
        </w:rPr>
        <w:t>,</w:t>
      </w:r>
      <w:r w:rsidR="00856D05">
        <w:rPr>
          <w:color w:val="000000" w:themeColor="text1"/>
        </w:rPr>
        <w:t xml:space="preserve"> </w:t>
      </w:r>
      <w:r w:rsidR="001163E8">
        <w:rPr>
          <w:color w:val="000000" w:themeColor="text1"/>
        </w:rPr>
        <w:t xml:space="preserve">and due to the general benefit of having </w:t>
      </w:r>
      <w:proofErr w:type="spellStart"/>
      <w:r w:rsidR="001163E8">
        <w:rPr>
          <w:color w:val="000000" w:themeColor="text1"/>
        </w:rPr>
        <w:t>gNB</w:t>
      </w:r>
      <w:proofErr w:type="spellEnd"/>
      <w:r w:rsidR="001163E8">
        <w:rPr>
          <w:color w:val="000000" w:themeColor="text1"/>
        </w:rPr>
        <w:t xml:space="preserve"> control over the resource utilization in a cell </w:t>
      </w:r>
      <w:r w:rsidR="00856D05">
        <w:rPr>
          <w:color w:val="000000" w:themeColor="text1"/>
        </w:rPr>
        <w:t>o</w:t>
      </w:r>
      <w:r w:rsidR="00E371D7">
        <w:rPr>
          <w:color w:val="000000" w:themeColor="text1"/>
        </w:rPr>
        <w:t>ne option for further consideration could be to introduce</w:t>
      </w:r>
      <w:r w:rsidR="00856D05">
        <w:rPr>
          <w:color w:val="000000" w:themeColor="text1"/>
        </w:rPr>
        <w:t xml:space="preserve"> methods that allow</w:t>
      </w:r>
      <w:r w:rsidR="00E371D7">
        <w:rPr>
          <w:color w:val="000000" w:themeColor="text1"/>
        </w:rPr>
        <w:t xml:space="preserve"> a </w:t>
      </w:r>
      <w:proofErr w:type="spellStart"/>
      <w:r w:rsidR="001163E8">
        <w:rPr>
          <w:color w:val="000000" w:themeColor="text1"/>
        </w:rPr>
        <w:t>gNB</w:t>
      </w:r>
      <w:proofErr w:type="spellEnd"/>
      <w:r w:rsidR="001163E8">
        <w:rPr>
          <w:color w:val="000000" w:themeColor="text1"/>
        </w:rPr>
        <w:t xml:space="preserve"> controlled </w:t>
      </w:r>
      <w:r w:rsidR="00E371D7">
        <w:rPr>
          <w:color w:val="000000" w:themeColor="text1"/>
        </w:rPr>
        <w:t xml:space="preserve">prioritization </w:t>
      </w:r>
      <w:r w:rsidR="005B5D3D">
        <w:rPr>
          <w:color w:val="000000" w:themeColor="text1"/>
        </w:rPr>
        <w:t>of</w:t>
      </w:r>
      <w:r w:rsidR="00856D05">
        <w:rPr>
          <w:color w:val="000000" w:themeColor="text1"/>
        </w:rPr>
        <w:t xml:space="preserve"> use </w:t>
      </w:r>
      <w:r w:rsidR="005B5D3D">
        <w:rPr>
          <w:color w:val="000000" w:themeColor="text1"/>
        </w:rPr>
        <w:t xml:space="preserve">for </w:t>
      </w:r>
      <w:r w:rsidR="00856D05">
        <w:rPr>
          <w:color w:val="000000" w:themeColor="text1"/>
        </w:rPr>
        <w:t>the different parts of the BWP.</w:t>
      </w:r>
    </w:p>
    <w:p w14:paraId="474F1809" w14:textId="4F656D40" w:rsidR="00C15608" w:rsidRPr="0043142C" w:rsidRDefault="0030139A" w:rsidP="00EB628D">
      <w:pPr>
        <w:rPr>
          <w:color w:val="000000" w:themeColor="text1"/>
        </w:rPr>
      </w:pPr>
      <w:bookmarkStart w:id="1" w:name="_Hlk771236"/>
      <w:r>
        <w:rPr>
          <w:color w:val="000000" w:themeColor="text1"/>
        </w:rPr>
        <w:t xml:space="preserve">For the downlink data transmissions </w:t>
      </w:r>
      <w:r w:rsidRPr="0030139A">
        <w:rPr>
          <w:color w:val="000000" w:themeColor="text1"/>
        </w:rPr>
        <w:t xml:space="preserve">explicit indication </w:t>
      </w:r>
      <w:r>
        <w:rPr>
          <w:color w:val="000000" w:themeColor="text1"/>
        </w:rPr>
        <w:t xml:space="preserve">has been agreed </w:t>
      </w:r>
      <w:r w:rsidRPr="0030139A">
        <w:rPr>
          <w:color w:val="000000" w:themeColor="text1"/>
        </w:rPr>
        <w:t>as a mechanism to inform the UE that one or more carriers and/or LBT bandwidths are not available or available for DL reception</w:t>
      </w:r>
      <w:r>
        <w:rPr>
          <w:color w:val="000000" w:themeColor="text1"/>
        </w:rPr>
        <w:t xml:space="preserve"> </w:t>
      </w:r>
      <w:r w:rsidR="00856D05">
        <w:rPr>
          <w:color w:val="000000" w:themeColor="text1"/>
        </w:rPr>
        <w:t>W</w:t>
      </w:r>
      <w:r w:rsidR="00856D05" w:rsidRPr="00055163">
        <w:rPr>
          <w:color w:val="000000" w:themeColor="text1"/>
        </w:rPr>
        <w:t xml:space="preserve">e consider </w:t>
      </w:r>
      <w:r>
        <w:rPr>
          <w:color w:val="000000" w:themeColor="text1"/>
        </w:rPr>
        <w:t xml:space="preserve">similar situation for uplink where </w:t>
      </w:r>
      <w:r w:rsidR="00856D05" w:rsidRPr="00055163">
        <w:rPr>
          <w:color w:val="000000" w:themeColor="text1"/>
        </w:rPr>
        <w:t>an allocated carrier/channel may be relatively wide</w:t>
      </w:r>
      <w:r>
        <w:rPr>
          <w:color w:val="000000" w:themeColor="text1"/>
        </w:rPr>
        <w:t>.</w:t>
      </w:r>
      <w:r w:rsidR="00856D05" w:rsidRPr="0005516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Due to the unknown access possibilities </w:t>
      </w:r>
      <w:r w:rsidR="00856D05" w:rsidRPr="00055163">
        <w:rPr>
          <w:color w:val="000000" w:themeColor="text1"/>
        </w:rPr>
        <w:t xml:space="preserve">in an unlicensed system it could be beneficial to </w:t>
      </w:r>
      <w:r w:rsidR="00C928D3">
        <w:rPr>
          <w:color w:val="000000" w:themeColor="text1"/>
        </w:rPr>
        <w:t xml:space="preserve">study </w:t>
      </w:r>
      <w:r w:rsidR="00EB628D">
        <w:rPr>
          <w:color w:val="000000" w:themeColor="text1"/>
        </w:rPr>
        <w:t>necessary NR enhancements for LBT operation</w:t>
      </w:r>
      <w:r w:rsidR="00856D05">
        <w:rPr>
          <w:color w:val="000000" w:themeColor="text1"/>
        </w:rPr>
        <w:t xml:space="preserve"> on a wide BWP</w:t>
      </w:r>
      <w:r w:rsidR="00C928D3">
        <w:rPr>
          <w:color w:val="000000" w:themeColor="text1"/>
        </w:rPr>
        <w:t>. Such enhancements could include considering system</w:t>
      </w:r>
      <w:r w:rsidR="00AD0C9F">
        <w:rPr>
          <w:color w:val="000000" w:themeColor="text1"/>
        </w:rPr>
        <w:t xml:space="preserve"> (</w:t>
      </w:r>
      <w:proofErr w:type="spellStart"/>
      <w:r w:rsidR="00AD0C9F">
        <w:rPr>
          <w:color w:val="000000" w:themeColor="text1"/>
        </w:rPr>
        <w:t>gNB</w:t>
      </w:r>
      <w:proofErr w:type="spellEnd"/>
      <w:r w:rsidR="00AD0C9F">
        <w:rPr>
          <w:color w:val="000000" w:themeColor="text1"/>
        </w:rPr>
        <w:t>)</w:t>
      </w:r>
      <w:r w:rsidR="00C928D3">
        <w:rPr>
          <w:color w:val="000000" w:themeColor="text1"/>
        </w:rPr>
        <w:t xml:space="preserve"> awareness of the current channel properties of </w:t>
      </w:r>
      <w:r w:rsidR="007A4791">
        <w:rPr>
          <w:color w:val="000000" w:themeColor="text1"/>
        </w:rPr>
        <w:t xml:space="preserve">the </w:t>
      </w:r>
      <w:r w:rsidR="00C928D3">
        <w:rPr>
          <w:color w:val="000000" w:themeColor="text1"/>
        </w:rPr>
        <w:t>configured BWPs</w:t>
      </w:r>
      <w:r w:rsidR="00CA61DF">
        <w:rPr>
          <w:color w:val="000000" w:themeColor="text1"/>
        </w:rPr>
        <w:t xml:space="preserve"> for the system to be in control over which parts of the wider configured bandwidth are primarily used</w:t>
      </w:r>
      <w:r w:rsidR="00C928D3">
        <w:rPr>
          <w:color w:val="000000" w:themeColor="text1"/>
        </w:rPr>
        <w:t xml:space="preserve">. </w:t>
      </w:r>
    </w:p>
    <w:p w14:paraId="05FE017D" w14:textId="7DB47D08" w:rsidR="004246DC" w:rsidRDefault="00C076BF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Multiple methods are possible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for such enhancements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, e.g.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in 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case of uplink operation</w:t>
      </w:r>
      <w:r w:rsidR="005868BA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the network may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control which 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to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primarily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use for each transmission</w:t>
      </w:r>
      <w:r w:rsidR="0050012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to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define 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25D18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priority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order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for LBT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among the multiple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configured 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20MHz </w:t>
      </w:r>
      <w:r w:rsidR="00C928D3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units</w:t>
      </w:r>
      <w:r w:rsidR="00AD0C9F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. This could be implemented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e.g. </w:t>
      </w:r>
      <w:r w:rsidR="00AD0C9F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by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defin</w:t>
      </w:r>
      <w:r w:rsidR="00AD0C9F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a primary sub-band for the CCA</w:t>
      </w:r>
      <w:r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. We propose that 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these aspects are studied, to analyze pros and cons for different </w:t>
      </w:r>
      <w:r w:rsidR="00856D05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>sub-band</w:t>
      </w:r>
      <w:r w:rsidR="003B7FD7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prioritization</w:t>
      </w:r>
      <w:r w:rsidR="00BC5A24">
        <w:rPr>
          <w:rFonts w:ascii="Times New Roman" w:eastAsia="MS Mincho" w:hAnsi="Times New Roman" w:cs="Times New Roman"/>
          <w:color w:val="000000" w:themeColor="text1"/>
          <w:sz w:val="22"/>
          <w:szCs w:val="22"/>
          <w:lang w:eastAsia="ja-JP"/>
        </w:rPr>
        <w:t xml:space="preserve"> strategies.</w:t>
      </w:r>
    </w:p>
    <w:p w14:paraId="7C8BCDFB" w14:textId="2A1C10F9" w:rsidR="00BC5A24" w:rsidRPr="007239AE" w:rsidRDefault="007A4791" w:rsidP="004246DC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 w:rsidR="00930232" w:rsidRPr="00DE4C6F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2</w:t>
      </w:r>
      <w:r w:rsidRPr="007A4791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NR-U to </w:t>
      </w:r>
      <w:r w:rsidR="00EB628D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support prioritization between multiple configured sub-bands for </w:t>
      </w:r>
      <w:r w:rsidR="00C624A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UL </w:t>
      </w:r>
      <w:r w:rsidR="00EB628D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transmissions over a wideband carrier</w:t>
      </w:r>
      <w:r w:rsidR="00BC5A24" w:rsidRPr="007239A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.</w:t>
      </w:r>
      <w:bookmarkEnd w:id="1"/>
    </w:p>
    <w:p w14:paraId="12282D2F" w14:textId="64D0E78F" w:rsidR="00206151" w:rsidRPr="00F00C1E" w:rsidRDefault="00206151" w:rsidP="00F44861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2" w:name="_Hlk771344"/>
    </w:p>
    <w:bookmarkEnd w:id="2"/>
    <w:p w14:paraId="427FB771" w14:textId="77777777" w:rsidR="004246DC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38AD5161" w14:textId="465AE846" w:rsidR="004246DC" w:rsidRPr="00F7452E" w:rsidRDefault="004246DC" w:rsidP="004246DC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7B65886" w14:textId="77777777" w:rsidR="00FF2590" w:rsidRPr="00561CA1" w:rsidRDefault="00FF2590" w:rsidP="00FF2590">
      <w:pPr>
        <w:pStyle w:val="ListParagraph"/>
        <w:spacing w:after="120"/>
        <w:ind w:left="0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bookmarkStart w:id="3" w:name="_Hlk764406"/>
      <w:bookmarkStart w:id="4" w:name="_Hlk16228576"/>
      <w:r w:rsidRPr="00561CA1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Proposal </w:t>
      </w:r>
      <w:r w:rsidRPr="00561CA1">
        <w:rPr>
          <w:rFonts w:ascii="Times New Roman" w:eastAsia="MS Mincho" w:hAnsi="Times New Roman" w:cs="Times New Roman"/>
          <w:b/>
          <w:i/>
          <w:color w:val="000000" w:themeColor="text1"/>
          <w:sz w:val="22"/>
          <w:szCs w:val="22"/>
          <w:lang w:eastAsia="ja-JP"/>
        </w:rPr>
        <w:t>1</w:t>
      </w:r>
      <w:r w:rsidRPr="00561CA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: </w:t>
      </w:r>
      <w:r w:rsidRPr="00561CA1">
        <w:rPr>
          <w:rFonts w:ascii="Times New Roman" w:hAnsi="Times New Roman" w:cs="Times New Roman"/>
          <w:i/>
          <w:sz w:val="22"/>
          <w:szCs w:val="22"/>
          <w:lang w:val="en-GB" w:eastAsia="ja-JP"/>
        </w:rPr>
        <w:t xml:space="preserve">NR-U to support that: UE transmits the PUSCH in all or a subset of LBT bandwidths of the scheduled PUSCH for which CCA is successful at the UE. </w:t>
      </w:r>
    </w:p>
    <w:p w14:paraId="485F052C" w14:textId="61EA56EB" w:rsidR="00F7026A" w:rsidRPr="00561CA1" w:rsidRDefault="00F7026A" w:rsidP="00F7026A">
      <w:pPr>
        <w:pStyle w:val="ListParagraph"/>
        <w:spacing w:after="120"/>
        <w:ind w:left="0"/>
        <w:rPr>
          <w:rFonts w:ascii="Times New Roman" w:eastAsia="MS Mincho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561CA1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lastRenderedPageBreak/>
        <w:t>Proposal 2</w:t>
      </w:r>
      <w:r w:rsidRPr="00561CA1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: NR-U to support prioritization between multiple configured sub-bands for</w:t>
      </w:r>
      <w:r w:rsidR="00695D8A" w:rsidRPr="00561CA1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UL</w:t>
      </w:r>
      <w:r w:rsidRPr="00561CA1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transmissions over a wideband carrier.</w:t>
      </w:r>
    </w:p>
    <w:bookmarkEnd w:id="3"/>
    <w:bookmarkEnd w:id="4"/>
    <w:p w14:paraId="3BC088C9" w14:textId="77777777" w:rsidR="004246DC" w:rsidRPr="00F92CF5" w:rsidRDefault="004246DC" w:rsidP="004246DC">
      <w:pPr>
        <w:rPr>
          <w:rFonts w:eastAsia="MS Mincho"/>
          <w:color w:val="000000" w:themeColor="text1"/>
          <w:lang w:eastAsia="ja-JP"/>
        </w:rPr>
      </w:pPr>
    </w:p>
    <w:p w14:paraId="644C6D25" w14:textId="77777777" w:rsidR="004246DC" w:rsidRPr="005B50B6" w:rsidRDefault="004246DC" w:rsidP="004246D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63041462" w14:textId="0E8CD7CA" w:rsidR="004246DC" w:rsidRPr="008876C4" w:rsidRDefault="004E5969" w:rsidP="00594F37">
      <w:pPr>
        <w:pStyle w:val="NormalWeb"/>
        <w:numPr>
          <w:ilvl w:val="0"/>
          <w:numId w:val="2"/>
        </w:numPr>
        <w:spacing w:before="0" w:beforeAutospacing="0" w:after="120" w:afterAutospacing="0"/>
        <w:ind w:left="397" w:hanging="397"/>
        <w:rPr>
          <w:rFonts w:ascii="Times New Roman" w:hAnsi="Times New Roman" w:cs="Times New Roman"/>
          <w:sz w:val="22"/>
          <w:szCs w:val="22"/>
        </w:rPr>
      </w:pPr>
      <w:proofErr w:type="gramStart"/>
      <w:r w:rsidRPr="008608A2">
        <w:rPr>
          <w:rFonts w:ascii="Times New Roman" w:hAnsi="Times New Roman" w:cs="Times New Roman"/>
          <w:sz w:val="22"/>
          <w:szCs w:val="22"/>
        </w:rPr>
        <w:t>Chairman’s Notes,</w:t>
      </w:r>
      <w:proofErr w:type="gramEnd"/>
      <w:r w:rsidRPr="008608A2">
        <w:rPr>
          <w:rFonts w:ascii="Times New Roman" w:hAnsi="Times New Roman" w:cs="Times New Roman"/>
          <w:sz w:val="22"/>
          <w:szCs w:val="22"/>
        </w:rPr>
        <w:t xml:space="preserve"> RAN #</w:t>
      </w:r>
      <w:r w:rsidR="00F80AF6">
        <w:rPr>
          <w:rFonts w:ascii="Times New Roman" w:hAnsi="Times New Roman" w:cs="Times New Roman"/>
          <w:sz w:val="22"/>
          <w:szCs w:val="22"/>
        </w:rPr>
        <w:t>82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F80AF6">
        <w:rPr>
          <w:rFonts w:ascii="Times New Roman" w:eastAsia="MS Mincho" w:hAnsi="Times New Roman" w:cs="Times New Roman"/>
          <w:sz w:val="22"/>
          <w:szCs w:val="22"/>
          <w:lang w:eastAsia="ja-JP"/>
        </w:rPr>
        <w:t>December</w:t>
      </w:r>
      <w:r w:rsidRPr="009B60E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eastAsia="MS Mincho" w:hAnsi="Times New Roman" w:cs="Times New Roman" w:hint="eastAsia"/>
          <w:sz w:val="22"/>
          <w:szCs w:val="22"/>
          <w:lang w:eastAsia="ja-JP"/>
        </w:rPr>
        <w:t>8</w:t>
      </w:r>
      <w:r w:rsidR="004246DC" w:rsidRPr="006714C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E10F506" w14:textId="518140EF" w:rsidR="005A27BC" w:rsidRDefault="005A27BC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Chairman notes, </w:t>
      </w:r>
      <w:r w:rsidRPr="00CB6BE5">
        <w:rPr>
          <w:rFonts w:ascii="Times New Roman" w:hAnsi="Times New Roman" w:cs="Times New Roman"/>
          <w:sz w:val="22"/>
          <w:szCs w:val="22"/>
        </w:rPr>
        <w:t xml:space="preserve">3GPP TSG RAN WG1 </w:t>
      </w:r>
      <w:r>
        <w:rPr>
          <w:rFonts w:ascii="Times New Roman" w:hAnsi="Times New Roman" w:cs="Times New Roman"/>
          <w:sz w:val="22"/>
          <w:szCs w:val="22"/>
        </w:rPr>
        <w:t>#96bis, April 2019</w:t>
      </w:r>
    </w:p>
    <w:p w14:paraId="66A4F873" w14:textId="7289EEB0" w:rsidR="008F2F0A" w:rsidRDefault="009074C0" w:rsidP="00D735E0">
      <w:pPr>
        <w:pStyle w:val="NormalWeb"/>
        <w:numPr>
          <w:ilvl w:val="0"/>
          <w:numId w:val="2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Chairman notes, </w:t>
      </w:r>
      <w:r w:rsidRPr="00CB6BE5">
        <w:rPr>
          <w:rFonts w:ascii="Times New Roman" w:hAnsi="Times New Roman" w:cs="Times New Roman"/>
          <w:sz w:val="22"/>
          <w:szCs w:val="22"/>
        </w:rPr>
        <w:t xml:space="preserve">3GPP TSG RAN WG1 </w:t>
      </w:r>
      <w:r>
        <w:rPr>
          <w:rFonts w:ascii="Times New Roman" w:hAnsi="Times New Roman" w:cs="Times New Roman"/>
          <w:sz w:val="22"/>
          <w:szCs w:val="22"/>
        </w:rPr>
        <w:t>#97, May 2019</w:t>
      </w:r>
    </w:p>
    <w:p w14:paraId="1BD720B8" w14:textId="67270D0D" w:rsidR="00AE39CB" w:rsidRPr="00594F37" w:rsidRDefault="00AE39CB" w:rsidP="00F07024">
      <w:pPr>
        <w:pStyle w:val="NormalWeb"/>
        <w:spacing w:before="0" w:beforeAutospacing="0" w:after="120" w:afterAutospacing="0"/>
        <w:ind w:left="357"/>
        <w:rPr>
          <w:rFonts w:ascii="Times New Roman" w:hAnsi="Times New Roman" w:cs="Times New Roman"/>
          <w:sz w:val="22"/>
          <w:szCs w:val="22"/>
        </w:rPr>
      </w:pPr>
    </w:p>
    <w:sectPr w:rsidR="00AE39CB" w:rsidRPr="00594F37" w:rsidSect="00597EF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86426" w14:textId="77777777" w:rsidR="002224EF" w:rsidRDefault="002224EF" w:rsidP="00530B04">
      <w:pPr>
        <w:spacing w:after="0"/>
      </w:pPr>
      <w:r>
        <w:separator/>
      </w:r>
    </w:p>
  </w:endnote>
  <w:endnote w:type="continuationSeparator" w:id="0">
    <w:p w14:paraId="2400505F" w14:textId="77777777" w:rsidR="002224EF" w:rsidRDefault="002224EF" w:rsidP="00530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FFF6" w14:textId="77777777" w:rsidR="002224EF" w:rsidRDefault="002224EF" w:rsidP="00530B04">
      <w:pPr>
        <w:spacing w:after="0"/>
      </w:pPr>
      <w:r>
        <w:separator/>
      </w:r>
    </w:p>
  </w:footnote>
  <w:footnote w:type="continuationSeparator" w:id="0">
    <w:p w14:paraId="3BD8B521" w14:textId="77777777" w:rsidR="002224EF" w:rsidRDefault="002224EF" w:rsidP="00530B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0240"/>
    <w:multiLevelType w:val="hybridMultilevel"/>
    <w:tmpl w:val="FD5C4198"/>
    <w:lvl w:ilvl="0" w:tplc="23E6B8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D312EC"/>
    <w:multiLevelType w:val="hybridMultilevel"/>
    <w:tmpl w:val="F3DA9488"/>
    <w:lvl w:ilvl="0" w:tplc="6BC6EE0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-58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54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0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-4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-4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-3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-30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-2600" w:hanging="400"/>
      </w:pPr>
      <w:rPr>
        <w:rFonts w:ascii="Wingdings" w:hAnsi="Wingdings" w:hint="default"/>
      </w:rPr>
    </w:lvl>
  </w:abstractNum>
  <w:abstractNum w:abstractNumId="1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2353E2"/>
    <w:multiLevelType w:val="hybridMultilevel"/>
    <w:tmpl w:val="138E86D6"/>
    <w:lvl w:ilvl="0" w:tplc="2C88DB0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8"/>
  </w:num>
  <w:num w:numId="6">
    <w:abstractNumId w:val="3"/>
  </w:num>
  <w:num w:numId="7">
    <w:abstractNumId w:val="11"/>
  </w:num>
  <w:num w:numId="8">
    <w:abstractNumId w:val="19"/>
  </w:num>
  <w:num w:numId="9">
    <w:abstractNumId w:val="13"/>
  </w:num>
  <w:num w:numId="10">
    <w:abstractNumId w:val="7"/>
  </w:num>
  <w:num w:numId="11">
    <w:abstractNumId w:val="9"/>
  </w:num>
  <w:num w:numId="12">
    <w:abstractNumId w:val="20"/>
  </w:num>
  <w:num w:numId="13">
    <w:abstractNumId w:val="10"/>
  </w:num>
  <w:num w:numId="14">
    <w:abstractNumId w:val="17"/>
  </w:num>
  <w:num w:numId="15">
    <w:abstractNumId w:val="2"/>
  </w:num>
  <w:num w:numId="16">
    <w:abstractNumId w:val="1"/>
  </w:num>
  <w:num w:numId="17">
    <w:abstractNumId w:val="16"/>
  </w:num>
  <w:num w:numId="18">
    <w:abstractNumId w:val="5"/>
  </w:num>
  <w:num w:numId="19">
    <w:abstractNumId w:val="14"/>
  </w:num>
  <w:num w:numId="20">
    <w:abstractNumId w:val="12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DC"/>
    <w:rsid w:val="000120E5"/>
    <w:rsid w:val="000269DE"/>
    <w:rsid w:val="00037155"/>
    <w:rsid w:val="0005228D"/>
    <w:rsid w:val="000546AA"/>
    <w:rsid w:val="00066407"/>
    <w:rsid w:val="000740CB"/>
    <w:rsid w:val="000760F3"/>
    <w:rsid w:val="000911D8"/>
    <w:rsid w:val="000A5771"/>
    <w:rsid w:val="000C68DA"/>
    <w:rsid w:val="000D26D2"/>
    <w:rsid w:val="000D3C41"/>
    <w:rsid w:val="000E2778"/>
    <w:rsid w:val="000E6E59"/>
    <w:rsid w:val="001163E8"/>
    <w:rsid w:val="0012251C"/>
    <w:rsid w:val="00141E1E"/>
    <w:rsid w:val="00152F51"/>
    <w:rsid w:val="001531E7"/>
    <w:rsid w:val="0016193D"/>
    <w:rsid w:val="001702D8"/>
    <w:rsid w:val="00182887"/>
    <w:rsid w:val="001B2BE2"/>
    <w:rsid w:val="001C59D1"/>
    <w:rsid w:val="001C61FA"/>
    <w:rsid w:val="001D459B"/>
    <w:rsid w:val="001D51BB"/>
    <w:rsid w:val="001F5DA6"/>
    <w:rsid w:val="0020097D"/>
    <w:rsid w:val="00206151"/>
    <w:rsid w:val="002224EF"/>
    <w:rsid w:val="002517BE"/>
    <w:rsid w:val="002528DB"/>
    <w:rsid w:val="00255D7E"/>
    <w:rsid w:val="00266FB4"/>
    <w:rsid w:val="0027504A"/>
    <w:rsid w:val="00282970"/>
    <w:rsid w:val="00291DEF"/>
    <w:rsid w:val="002C455B"/>
    <w:rsid w:val="002D71B7"/>
    <w:rsid w:val="0030139A"/>
    <w:rsid w:val="00302EB0"/>
    <w:rsid w:val="003040E4"/>
    <w:rsid w:val="00333207"/>
    <w:rsid w:val="00347624"/>
    <w:rsid w:val="00350814"/>
    <w:rsid w:val="00384DE6"/>
    <w:rsid w:val="00390498"/>
    <w:rsid w:val="003B373D"/>
    <w:rsid w:val="003B4B3B"/>
    <w:rsid w:val="003B7FD7"/>
    <w:rsid w:val="003C3299"/>
    <w:rsid w:val="003D7748"/>
    <w:rsid w:val="003F5681"/>
    <w:rsid w:val="004146CC"/>
    <w:rsid w:val="004246DC"/>
    <w:rsid w:val="0043142C"/>
    <w:rsid w:val="00464A4F"/>
    <w:rsid w:val="004A2309"/>
    <w:rsid w:val="004A58AE"/>
    <w:rsid w:val="004A7D3B"/>
    <w:rsid w:val="004B260A"/>
    <w:rsid w:val="004B2E3C"/>
    <w:rsid w:val="004B31E1"/>
    <w:rsid w:val="004B36E9"/>
    <w:rsid w:val="004D4D32"/>
    <w:rsid w:val="004E5969"/>
    <w:rsid w:val="004F21D5"/>
    <w:rsid w:val="004F5843"/>
    <w:rsid w:val="00500128"/>
    <w:rsid w:val="00510974"/>
    <w:rsid w:val="00530B04"/>
    <w:rsid w:val="00532E84"/>
    <w:rsid w:val="005369B8"/>
    <w:rsid w:val="005440C1"/>
    <w:rsid w:val="0055247E"/>
    <w:rsid w:val="00561CA1"/>
    <w:rsid w:val="00570EED"/>
    <w:rsid w:val="00575A0C"/>
    <w:rsid w:val="00576F71"/>
    <w:rsid w:val="005868BA"/>
    <w:rsid w:val="00594F37"/>
    <w:rsid w:val="00597EFF"/>
    <w:rsid w:val="005A27BC"/>
    <w:rsid w:val="005B5D3D"/>
    <w:rsid w:val="005C09FE"/>
    <w:rsid w:val="005C0E12"/>
    <w:rsid w:val="005E2C01"/>
    <w:rsid w:val="00600FAC"/>
    <w:rsid w:val="00646AEF"/>
    <w:rsid w:val="00646B7C"/>
    <w:rsid w:val="00665B02"/>
    <w:rsid w:val="00671F3F"/>
    <w:rsid w:val="006740B4"/>
    <w:rsid w:val="00684C50"/>
    <w:rsid w:val="00695D8A"/>
    <w:rsid w:val="006A0739"/>
    <w:rsid w:val="006B3CE7"/>
    <w:rsid w:val="006B452E"/>
    <w:rsid w:val="006C1CCA"/>
    <w:rsid w:val="006D0789"/>
    <w:rsid w:val="006F5283"/>
    <w:rsid w:val="00715534"/>
    <w:rsid w:val="007239AE"/>
    <w:rsid w:val="007460E4"/>
    <w:rsid w:val="00760AAA"/>
    <w:rsid w:val="00787C13"/>
    <w:rsid w:val="007A3FAD"/>
    <w:rsid w:val="007A4791"/>
    <w:rsid w:val="007B3846"/>
    <w:rsid w:val="007B5775"/>
    <w:rsid w:val="007C6C73"/>
    <w:rsid w:val="007D4DFA"/>
    <w:rsid w:val="007D66B7"/>
    <w:rsid w:val="007F1542"/>
    <w:rsid w:val="008009D2"/>
    <w:rsid w:val="00801DE2"/>
    <w:rsid w:val="00803278"/>
    <w:rsid w:val="00803B1B"/>
    <w:rsid w:val="008137E9"/>
    <w:rsid w:val="00816180"/>
    <w:rsid w:val="008256D5"/>
    <w:rsid w:val="00837966"/>
    <w:rsid w:val="0085472E"/>
    <w:rsid w:val="00856D05"/>
    <w:rsid w:val="0085768E"/>
    <w:rsid w:val="00857B6E"/>
    <w:rsid w:val="00865697"/>
    <w:rsid w:val="00894FA2"/>
    <w:rsid w:val="00896B0A"/>
    <w:rsid w:val="008A2C42"/>
    <w:rsid w:val="008A6EC1"/>
    <w:rsid w:val="008B2400"/>
    <w:rsid w:val="008C65CC"/>
    <w:rsid w:val="008C6975"/>
    <w:rsid w:val="008D5DD2"/>
    <w:rsid w:val="008D757C"/>
    <w:rsid w:val="008E1E41"/>
    <w:rsid w:val="008E715F"/>
    <w:rsid w:val="008F175E"/>
    <w:rsid w:val="008F21E7"/>
    <w:rsid w:val="008F2F0A"/>
    <w:rsid w:val="009074C0"/>
    <w:rsid w:val="009126CB"/>
    <w:rsid w:val="009266C6"/>
    <w:rsid w:val="00930232"/>
    <w:rsid w:val="00931A7F"/>
    <w:rsid w:val="00946824"/>
    <w:rsid w:val="009520CA"/>
    <w:rsid w:val="0095231A"/>
    <w:rsid w:val="00954636"/>
    <w:rsid w:val="009667B5"/>
    <w:rsid w:val="0099729B"/>
    <w:rsid w:val="009A7912"/>
    <w:rsid w:val="009B0EED"/>
    <w:rsid w:val="009C08E4"/>
    <w:rsid w:val="009D5B27"/>
    <w:rsid w:val="009E00C1"/>
    <w:rsid w:val="00A0336C"/>
    <w:rsid w:val="00A12473"/>
    <w:rsid w:val="00A2273C"/>
    <w:rsid w:val="00A27576"/>
    <w:rsid w:val="00A503FC"/>
    <w:rsid w:val="00A63F95"/>
    <w:rsid w:val="00A6477E"/>
    <w:rsid w:val="00A864FC"/>
    <w:rsid w:val="00A94AE2"/>
    <w:rsid w:val="00AC415D"/>
    <w:rsid w:val="00AD0556"/>
    <w:rsid w:val="00AD0C9F"/>
    <w:rsid w:val="00AD614A"/>
    <w:rsid w:val="00AE39CB"/>
    <w:rsid w:val="00B257AB"/>
    <w:rsid w:val="00B25D18"/>
    <w:rsid w:val="00B360FB"/>
    <w:rsid w:val="00B51CF1"/>
    <w:rsid w:val="00B707EF"/>
    <w:rsid w:val="00B718DD"/>
    <w:rsid w:val="00B749A7"/>
    <w:rsid w:val="00B7653B"/>
    <w:rsid w:val="00B76E30"/>
    <w:rsid w:val="00B86823"/>
    <w:rsid w:val="00BA6B6B"/>
    <w:rsid w:val="00BB0588"/>
    <w:rsid w:val="00BB097C"/>
    <w:rsid w:val="00BB6377"/>
    <w:rsid w:val="00BC0CAF"/>
    <w:rsid w:val="00BC5A24"/>
    <w:rsid w:val="00BD4A7E"/>
    <w:rsid w:val="00BE0768"/>
    <w:rsid w:val="00BF7996"/>
    <w:rsid w:val="00C0027D"/>
    <w:rsid w:val="00C02D7F"/>
    <w:rsid w:val="00C076BF"/>
    <w:rsid w:val="00C15608"/>
    <w:rsid w:val="00C272A1"/>
    <w:rsid w:val="00C320B3"/>
    <w:rsid w:val="00C3754F"/>
    <w:rsid w:val="00C624A2"/>
    <w:rsid w:val="00C86745"/>
    <w:rsid w:val="00C928D3"/>
    <w:rsid w:val="00CA61DF"/>
    <w:rsid w:val="00CA75E2"/>
    <w:rsid w:val="00CB5406"/>
    <w:rsid w:val="00CC08F6"/>
    <w:rsid w:val="00D23D95"/>
    <w:rsid w:val="00D3542C"/>
    <w:rsid w:val="00D54CD8"/>
    <w:rsid w:val="00D735E0"/>
    <w:rsid w:val="00DA28E4"/>
    <w:rsid w:val="00DB4A32"/>
    <w:rsid w:val="00DD141C"/>
    <w:rsid w:val="00DD1E0E"/>
    <w:rsid w:val="00DE4C6F"/>
    <w:rsid w:val="00DE57C9"/>
    <w:rsid w:val="00E16D58"/>
    <w:rsid w:val="00E22AC7"/>
    <w:rsid w:val="00E36734"/>
    <w:rsid w:val="00E371D7"/>
    <w:rsid w:val="00E43994"/>
    <w:rsid w:val="00E46B31"/>
    <w:rsid w:val="00E93216"/>
    <w:rsid w:val="00E953C2"/>
    <w:rsid w:val="00EA2ED2"/>
    <w:rsid w:val="00EB4BBF"/>
    <w:rsid w:val="00EB628D"/>
    <w:rsid w:val="00EE43B6"/>
    <w:rsid w:val="00EF1AAC"/>
    <w:rsid w:val="00EF6C5E"/>
    <w:rsid w:val="00F00C1E"/>
    <w:rsid w:val="00F07024"/>
    <w:rsid w:val="00F10F8D"/>
    <w:rsid w:val="00F16370"/>
    <w:rsid w:val="00F17E21"/>
    <w:rsid w:val="00F26C89"/>
    <w:rsid w:val="00F300C0"/>
    <w:rsid w:val="00F30F37"/>
    <w:rsid w:val="00F44861"/>
    <w:rsid w:val="00F44A1E"/>
    <w:rsid w:val="00F5442D"/>
    <w:rsid w:val="00F70163"/>
    <w:rsid w:val="00F7026A"/>
    <w:rsid w:val="00F80AF6"/>
    <w:rsid w:val="00F82AAA"/>
    <w:rsid w:val="00F85509"/>
    <w:rsid w:val="00FA2AC2"/>
    <w:rsid w:val="00FD1B1F"/>
    <w:rsid w:val="00FD4FA8"/>
    <w:rsid w:val="00FF2590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5FB42F"/>
  <w15:docId w15:val="{B7580067-5551-470D-9142-DE81358D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6DC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46D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246D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246D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4246D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6DC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6D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6D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6D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rsid w:val="004246D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46DC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4246DC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246DC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4246DC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4246DC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246DC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246DC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4246DC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6DC"/>
    <w:rPr>
      <w:rFonts w:ascii="Arial" w:eastAsiaTheme="minorEastAsia" w:hAnsi="Arial" w:cs="Arial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246D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246DC"/>
    <w:rPr>
      <w:rFonts w:ascii="Times New Roman" w:eastAsiaTheme="minorEastAsia" w:hAnsi="Times New Roman" w:cs="Times New Roman"/>
      <w:lang w:val="en-US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4246DC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4246DC"/>
    <w:rPr>
      <w:rFonts w:ascii="Calibri" w:eastAsiaTheme="minorEastAsia" w:hAnsi="Calibri" w:cs="Calibri"/>
      <w:sz w:val="21"/>
      <w:szCs w:val="21"/>
      <w:lang w:val="en-US" w:eastAsia="zh-CN"/>
    </w:rPr>
  </w:style>
  <w:style w:type="paragraph" w:customStyle="1" w:styleId="CRCoverPage">
    <w:name w:val="CR Cover Page"/>
    <w:next w:val="Normal"/>
    <w:rsid w:val="004246D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246D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C3754F"/>
    <w:pPr>
      <w:numPr>
        <w:numId w:val="7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530B04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0B04"/>
    <w:rPr>
      <w:rFonts w:ascii="Times New Roman" w:eastAsiaTheme="minorEastAsia" w:hAnsi="Times New Roman" w:cs="Times New Roman"/>
      <w:lang w:val="en-US"/>
    </w:rPr>
  </w:style>
  <w:style w:type="character" w:styleId="Hyperlink">
    <w:name w:val="Hyperlink"/>
    <w:uiPriority w:val="99"/>
    <w:rsid w:val="00E3673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46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EF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EF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646AE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EF"/>
    <w:rPr>
      <w:rFonts w:ascii="Segoe UI" w:eastAsiaTheme="minorEastAsia" w:hAnsi="Segoe UI" w:cs="Segoe UI"/>
      <w:sz w:val="18"/>
      <w:szCs w:val="18"/>
      <w:lang w:val="en-US"/>
    </w:rPr>
  </w:style>
  <w:style w:type="paragraph" w:customStyle="1" w:styleId="LGTdoc">
    <w:name w:val="LGTdoc_본문"/>
    <w:basedOn w:val="Normal"/>
    <w:rsid w:val="00BE0768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h1">
    <w:name w:val="h1"/>
    <w:basedOn w:val="Normal"/>
    <w:rsid w:val="0005228D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2">
    <w:name w:val="B2"/>
    <w:basedOn w:val="List2"/>
    <w:uiPriority w:val="99"/>
    <w:rsid w:val="003040E4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040E4"/>
    <w:pPr>
      <w:ind w:left="566" w:hanging="283"/>
      <w:contextualSpacing/>
    </w:pPr>
  </w:style>
  <w:style w:type="paragraph" w:styleId="TOC2">
    <w:name w:val="toc 2"/>
    <w:basedOn w:val="TOC1"/>
    <w:uiPriority w:val="39"/>
    <w:qFormat/>
    <w:rsid w:val="00D3542C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="851" w:right="425" w:hanging="851"/>
      <w:jc w:val="left"/>
    </w:pPr>
    <w:rPr>
      <w:rFonts w:eastAsia="SimSu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3542C"/>
    <w:pPr>
      <w:spacing w:after="100"/>
    </w:pPr>
  </w:style>
  <w:style w:type="paragraph" w:customStyle="1" w:styleId="B1">
    <w:name w:val="B1"/>
    <w:basedOn w:val="List"/>
    <w:link w:val="B1Char"/>
    <w:qFormat/>
    <w:rsid w:val="00DB4A32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rFonts w:eastAsia="SimSun"/>
      <w:sz w:val="20"/>
      <w:szCs w:val="20"/>
      <w:lang w:val="en-GB" w:eastAsia="x-none"/>
    </w:rPr>
  </w:style>
  <w:style w:type="character" w:customStyle="1" w:styleId="B1Char">
    <w:name w:val="B1 Char"/>
    <w:link w:val="B1"/>
    <w:rsid w:val="00DB4A3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DB4A3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3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89F1E-EFA9-45FA-AF80-26544287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Ljung, Rickard (23060230)</dc:creator>
  <cp:keywords/>
  <dc:description/>
  <cp:lastModifiedBy>Ljung, Rickard</cp:lastModifiedBy>
  <cp:revision>2</cp:revision>
  <cp:lastPrinted>2018-09-24T06:57:00Z</cp:lastPrinted>
  <dcterms:created xsi:type="dcterms:W3CDTF">2019-08-16T11:14:00Z</dcterms:created>
  <dcterms:modified xsi:type="dcterms:W3CDTF">2019-08-16T11:14:00Z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/>
  </property>
  <property fmtid="{D5CDD505-2E9C-101B-9397-08002B2CF9AE}" pid="3" name="SecurityClass">
    <vt:lpwstr>.</vt:lpwstr>
  </property>
  <property fmtid="{D5CDD505-2E9C-101B-9397-08002B2CF9AE}" pid="4" name="Date">
    <vt:lpwstr>2019-02-11</vt:lpwstr>
  </property>
  <property fmtid="{D5CDD505-2E9C-101B-9397-08002B2CF9AE}" pid="5" name="DocumentSource">
    <vt:lpwstr/>
  </property>
  <property fmtid="{D5CDD505-2E9C-101B-9397-08002B2CF9AE}" pid="6" name="Prepared">
    <vt:lpwstr>Ljung, Rickard (23060230)</vt:lpwstr>
  </property>
</Properties>
</file>